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15" w:type="dxa"/>
        <w:jc w:val="left"/>
        <w:tblInd w:w="-10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26"/>
        <w:gridCol w:w="6988"/>
      </w:tblGrid>
      <w:tr>
        <w:trPr>
          <w:trHeight w:val="283" w:hRule="atLeast"/>
        </w:trPr>
        <w:tc>
          <w:tcPr>
            <w:tcW w:w="10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KARTA PRZEDMIOTU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Uczelni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Wyższa Szkoła Umiejętności Zawodowych z siedzibą w Pińczowie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Nazwa Wydziału i Kierunku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Wydział Pielęgniarstwa, Kierunek: Pielęgniarstwo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Profil kształcenia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Poziom realizacji przedmiotu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pierwszego stopnia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stacjonarne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Tytuł zawodowy uzyskiwany przez studenta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Licencjat pielęgniarstwa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Nazwa modułu kształcenia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PIELĘGNIARSTWO OPIEKI DŁUGOTERMINOWEJ – Kod przedmiotu: PI.OS.32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Język kształcenia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Polski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Typ modułu kształcenia 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Obowiązkowy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Przyporządkowanie do grupy przedmiotów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D. Nauki w zakresie opieki specjalistycznej 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Rok studiów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IV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Semestr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VII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zh-CN"/>
              </w:rPr>
              <w:t>Osoba/zespół przygotowująca/y kartę przedmiotu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0"/>
                <w:szCs w:val="20"/>
                <w:lang w:eastAsia="zh-CN"/>
              </w:rPr>
              <w:t>Wydział Pielęgniarstwa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Sposób realizacji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20"/>
                <w:szCs w:val="20"/>
                <w:lang w:val="pl-PL" w:eastAsia="zh-CN" w:bidi="ar-SA"/>
              </w:rPr>
              <w:t>Zajęcia wymagające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bezpośredniego udziału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prowadzącego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i studentów: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wykład, zajęcia praktyczne, praktyka zawodowa.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kern w:val="2"/>
                <w:sz w:val="20"/>
                <w:szCs w:val="20"/>
                <w:lang w:eastAsia="zh-CN"/>
              </w:rPr>
              <w:t>S</w:t>
            </w:r>
            <w:r>
              <w:rPr>
                <w:rFonts w:eastAsia="Times New Roman" w:cs="Times New Roman" w:ascii="Times New Roman" w:hAnsi="Times New Roman"/>
                <w:kern w:val="2"/>
                <w:sz w:val="20"/>
                <w:szCs w:val="20"/>
                <w:lang w:eastAsia="zh-CN"/>
              </w:rPr>
              <w:t>amokształcenie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Wymagania wstępne i dodatkowe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Wiedza zdobyta w dotychczasowym kształceniu zawodowym  z zakresu: anatomii, fizjologii, patofizjologii, etyki, psychologii i socjologii.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Rodzaj i liczba godzin zajęć dydaktycznych wymagających bezpośredniego udziału nauczyciela akademickiego i studentów, gdy w danym module przewidziane są takie zajęcia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wykłady - 30 godz.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amokształcenie – 20 godz.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zajęcia praktyczne -  40 godz.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praktyka zawodowa – 40 godz.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punktów ECTS przypisana modułowi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Stosowane metody dydaktyczne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Wykład: wykład  informacyjny, dyskusja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Zajęcia praktyczne: studium przypadku, pokaz,  instruktaż,  ćwiczenia praktyczne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i warunki zaliczenia modułu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Wykłady - egzamin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kern w:val="2"/>
                <w:sz w:val="20"/>
                <w:szCs w:val="20"/>
                <w:lang w:eastAsia="zh-CN"/>
              </w:rPr>
              <w:t>Samokształcenie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– egzamin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Zajęcia praktyczne – zaliczenie z oceną.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Praktyki zawodowe – zaliczenie z oceną.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Warunki zaliczenia i dopuszczenia do egzaminu: posiadanie zaliczeń z ćwiczeń i samokształcenia.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Samokształcenie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-  test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Tretekstu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Dodatkowe kryteria do zaliczenia zaj</w:t>
            </w:r>
            <w:r>
              <w:rPr>
                <w:rFonts w:ascii="Times New Roman" w:hAnsi="Times New Roman"/>
                <w:sz w:val="20"/>
                <w:szCs w:val="20"/>
              </w:rPr>
              <w:t>ęć praktycznych: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200" w:before="0" w:after="0"/>
              <w:ind w:left="720" w:right="0"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obowiązkowa obecność na wszystkich zajęciach,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200" w:before="0" w:after="0"/>
              <w:ind w:left="720" w:right="0"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 umiejętności według indeksu (dziennika) umiejętności,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prowadzenie indywidualnego dokumentowania pielęgnowania  chorego,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Cele przedmiotu</w:t>
            </w:r>
          </w:p>
        </w:tc>
        <w:tc>
          <w:tcPr>
            <w:tcW w:w="6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Cel 1 Opanowanie przez studenta wiedzy i umiejętności umożliwiających sprawowanie opieki pielęgniarskiej w opiece długoterminowej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Efekty uczenia się dla modułu kształcenia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wyniku kształcenia student: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W zakresie wiedzy: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D.W1 Zna czynniki ryzyka i zagrożenia zdrowotne u pacjentów w różnym wieku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D.W2 Zna etiopatogenezę, objawy kliniczne, przebieg, leczenie, rokowanie i zasady opieki pielęgniarskiej nad pacjentem w wybranych chorobach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D.W3 Zna zasady diagnozowania i planowania opieki nad pacjentem                               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pielęgniarstwie internistycznym, chirurgicznym, położniczo-ginekologicznym, pediatrycznym, geriatrycznym, neurologicznym, psychiatrycznym,                                    w intensywnej opiece medycznej, opiece paliatywnej, opiece długoterminowej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D.W4 Zna rodzaje badań diagnostycznych i zasady ich zlecania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D.W5 Zna zasady przygotowania pacjenta w różnym wieku i stanie zdrowia do badań i zabiegów diagnostycznych, a także zasady opieki w trakcie oraz po tych badaniach i zabiegach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D.W6 Zna właściwości grup leków i ich działanie na układy i narządy pacjenta                     w różnych chorobach w zależności od wieku i stanu zdrowia, z uwzględnieniem działań niepożądanych, interakcji z innymi lekami i dróg podania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D.W7 Zna standardy i procedury pielęgniarskie stosowane w opiece nad pacjentem w różnym wieku i stanie zdrowia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D.W8 Zna reakcje pacjenta na chorobę, przyjęcie do szpitala i hospitalizację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D.W10 Zna zasady organizacji opieki specjalistycznej (geriatrycznej, intensywnej opieki medycznej, neurologicznej, psychiatrycznej, pediatrycznej, internistycznej, chirurgicznej, paliatywnej, długoterminowej oraz na bloku operacyjnym)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W zakresie umiejętności: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D.U1 Potrafi gromadzić informacje, formułować diagnozę pielęgniarską, ustalać cele i plan opieki pielęgniarskiej, wdrażać interwencje pielęgniarskie  oraz dokonywać ewaluacji opieki pielęgniarskiej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D.U2 Potrafi prowadzić poradnictwo w zakresie samoopieki pacjentów w różnym wieku i stanie zdrowia dotyczące wad rozwojowych, chorób i uzależnień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D.U3 Potrafi prowadzić profilaktykę powikłań występujących w przebiegu chorób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D.U4 Potrafi organizować izolację pacjentów z chorobą zakaźną w miejscach publicznych i w warunkach domowych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D.U7 Potrafi dobierać metody i środki pielęgnacji ran na podstawie ich klasyfikacji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D.U8 Potrafi rozpoznać powikłania po specjalistycznych badaniach diagnostycznych i zabiegach operacyjnych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D.U12 Potrafi przygotować pacjenta fizycznie i psychicznie do badań diagnostycznych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D.U13 Potrafi wystawiać skierowania na wykonanie określonych badań diagnostycznych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D.U15 Potrafi dokumentować sytuację zdrowotną pacjenta, dynamikę jej zmian                i realizowaną opiekę pielęgniarską, z uwzględnieniem narzędzi informatycznych do gromadzenia danych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D.U16 Potrafi uczyć pacjenta i jego opiekuna doboru oraz użytkowania sprzętu pielęgnacyjno-rehabilitacyjnego i wyrobów medycznych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D.U18 Potrafi rozpoznawać powikłania leczenia farmakologicznego, dietetycznego, rehabilitacyjnego i leczniczo-pielęgnacyjnego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D.U20 Potrafi prowadzić rozmowę terapeutyczną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D.U22 Potrafi przekazywać informacje członkom zespołu terapeutycznego o stanie zdrowia pacjenta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D.U23 Potrafi asystować lekarzowi w trakcie badań diagnostycznych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D.U24 Potrafi oceniać poziom bólu, reakcję pacjenta na ból i jego nasilenie oraz stosować farmakologiczne i niefarmakologiczne postępowanie przeciwbólowe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D.U25 Potrafi postępować zgodnie z procedurą z ciałem zmarłego pacjenta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D.U26 Potrafi przygotować i podawać pacjentom leki różnymi drogami, samodzielnie lub na zlecenie lekarza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W zakresie kompetencji społecznych: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K.01 Kieruje się dobrem pacjenta, poszanowaniem godności i autonomii osób powierzonych opiece, okazuje zrozumienie dla różnic światopoglądowych                   i kulturowych oraz empatii w relacji z pacjentem i jego rodziną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K.02 Przestrzega praw pacjenta i zachowuje w tajemnicy informacje związane                   z pacjentem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K.03 Samodzielnie i rzetelnie wykonuje zawód zgodnie z zasadami etyki, w tym przestrzegania wartości i powinności moralnych w opiece nad pacjentem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K.04 Ponosi odpowiedzialność za wykonywane czynności zawodowe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K.05 Zasięga opinii ekspertów w przypadku trudności z samodzielnym rozwiązaniem problemu</w:t>
            </w:r>
          </w:p>
          <w:p>
            <w:pPr>
              <w:pStyle w:val="Normal"/>
              <w:spacing w:lineRule="auto" w:line="240" w:before="0" w:after="0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K.06 Przewiduje i uwzględnia czynniki wpływające na reakcje własne i pacjenta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Treści modułu kształcenia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WYKŁADY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P1. Niepełnosprawność i niezdolność do samodzielnej egzystencji – wybrane aspekty opieki długoterminowej w odniesieniu do wybranych grup pacjentów przewlekle chorych.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P2. Najczęstsze grupy schorzeń pacjentów w opiece długoterminowej.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P3. Wybrane aspekty terapii lekowych u pacjentów w opiece długoterminowej. Najczęstsze interakcje lekowe w zależności od wieku i stanu zdrowia.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P4. Najczęstsze choroby wieku rozwojowego jako przyczyna niepełnosprawności              u dzieci. Wsparcie rodziców dzieci niepełnosprawnych.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P5. Uwarunkowania rozwoju opieki długoterminowej. Sytuacja demograficzna oraz zdrowotne, społeczno-kulturowe i ekonomiczne aspekty zapotrzebowania na opiekę długoterminową w Polsce.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P6. Najczęstsze przyczyny i rodzaje powikłań wynikających z niepełnosprawności              i niezdolności do samodzielnej egzystencji u pacjentów pielęgniarskiej opieki długoterminowej.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P7. Zakres opieki pielęgniarskiej nad pacjentem w opiece długoterminowej                   w różnym wieku z uwzględnieniem wybranych chorób przewlekłych i schorzeń.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P8. Pacjent geriatryczny jako podmiot w opiece długoterminowej. Najczęstsze problemy zdrowotne i pielęgnacyjno-opiekuńcze osób starszych będące przyczyn            a objęcia opieką długoterminową.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P9. Opieka długoterminowa w warunkach domowych. Opiekun nieformalny i jego problemy w opiece długoterminowej. Różnice w obciążeniu opiekunów rodziny –          w opiece nad dorosłym i dzieckiem przewlekle chorym. Formy wsparcia opiekunów nieformalnych w Polsce.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P10.Rozpoznawanie powikłań chorób przewlekłych u pacjentów opieki długoterminowej oraz ich profilaktyka.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P11. Sprzęt pielęgnacyjno-rehabilitacyjny i wyroby medyczne w optymalizacji stanu pacjentów w opiece długoterminowej.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zh-CN"/>
              </w:rPr>
              <w:t>SAMOKSZTAŁCENIE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P12. Przykłady praktyk pielęgniarskich opartych na dowodach naukowych               w zakresie profilaktyki i postępowania z odleżynami – przegląd literatury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ZAJĘCIA PRAKTYCZNE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P13. Gromadzenie informacji, formułowanie diagnozy pielęgniarskiej, ustalenie celu i planu pielęgniarskiej opieki długoterminowej, wdrażanie interwencji pielęgniarskich, dokonywanie ewaluacji opieki pielęgniarskiej.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P14. Prowadzenie poradnictwa w zakresie samoopieki pacjentów objętych opieką długoterminową.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P15. Prowadzenie profilaktyki powikłań występujących w przebiegu choroby przewlekłej.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P16. Organizowanie izolacji pacjentów z chorobą zakaźną  warunkach domowych/szpitalnych.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P17. Dobieranie metod i środków do pielęgnacji ran na podstawie ich klasyfikacji.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P18. Rozpoznawanie powikłań po specjalistycznych badaniach diagnostycznych oraz przygotowanie pacjenta fizycznie i psychicznie do badań diagnostycznych.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P19. Dokumentowanie sytuacji zdrowotnej pacjenta z chorobą przewlekłą, dynamiki jej zmian i realizowanej opieki pielęgniarskiej, z uwzględnienie narzędzi informatycznych do gromadzenia danych.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P20. Uczenie pacjenta i jego opiekuna/rodziny doboru oraz użytkowania sprzętu pielęgnacyjno-rehabilitacyjnego i wyrobów medycznych.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P21. Rozpoznawanie powikłań leczenia farmakologicznego, dietetycznego, rehabilitacyjnego i leczniczo-pielęgnacyjnego.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P22. Prowadzenie rozmowy terapeutycznej z pacjentem i jego rodziną/opiekunem.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PRAKTYKI ZAWODOWE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P23. Opieka zindywidualizowana nad pacjentem z problemami w przebiegu choroby przewlekłej: pacjent z chorobą reumatoidalną, z chorobą obturacyjną, pacjent z cukrzycą typu II, pacjent z wybraną chorobą neurologiczną/neurodegradacyjną.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P24. Opracowanie programu edukacyjnego/materiałów edukacyjnych dla pacjentów z wybraną chorobą przewlekłą.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Wykaz literatury podstawowej i uzupełniającej, obowiązującej do zaliczenia danego modułu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Literatura podstawowa: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Mosakowska M,Więcek A, Błędowski P – Aspekty medyczne, psychologiczne, socjologiczne i ekonomiczne starzenia się ludzi w Polsce, wyd.1,Wyd.Termedia,Poznań 2012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Kędziora-KornatowskaK, Muszalik M,Skolimowska E – Pielęgniarstwo w opiece długoterminowej. Wydawnictwo Lekarskie PZWL, Warszawa 2010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Literatura uzupełniająca:</w:t>
            </w:r>
          </w:p>
          <w:p>
            <w:pPr>
              <w:pStyle w:val="Normal"/>
              <w:spacing w:lineRule="auto" w:line="240" w:before="0" w:after="0"/>
              <w:ind w:left="173" w:hanging="17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Talarska D, Wieczorkowska-Tobis K, Szwałkiewicz E – Opieka nad osobami przewlekle chorymi w wieku podeszłym i niesamodzielnymi. Wydawnictwo Lekarskie PZWL, Warszawa 2009</w:t>
            </w:r>
          </w:p>
        </w:tc>
      </w:tr>
      <w:tr>
        <w:trPr>
          <w:trHeight w:val="283" w:hRule="atLeast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Wymiar, zasady i forma odbywania praktyk, w przypadku, gdy program kształcenia przewiduje praktyki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Praktyka zawodowa – 40 godz.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9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80"/>
        <w:gridCol w:w="5264"/>
        <w:gridCol w:w="3856"/>
      </w:tblGrid>
      <w:tr>
        <w:trPr/>
        <w:tc>
          <w:tcPr>
            <w:tcW w:w="9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KRYTERIA OCENY POSTAWY STUDENTA PODCZAS ZAJĘĆ PRAKTYCZNYCH I PRAKTYK ZAWODOWYCH 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Kryteria</w:t>
            </w:r>
          </w:p>
        </w:tc>
        <w:tc>
          <w:tcPr>
            <w:tcW w:w="3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punktów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Postawa w stosunku do pacjenta.</w:t>
            </w:r>
          </w:p>
        </w:tc>
        <w:tc>
          <w:tcPr>
            <w:tcW w:w="3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0 - 6</w:t>
            </w:r>
          </w:p>
        </w:tc>
      </w:tr>
      <w:tr>
        <w:trPr>
          <w:trHeight w:val="408" w:hRule="atLeast"/>
        </w:trPr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Postawa wobec nauki i zawodu.</w:t>
            </w:r>
          </w:p>
        </w:tc>
        <w:tc>
          <w:tcPr>
            <w:tcW w:w="3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0 - 6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Postawa wobec zespołu terapeutycznego.</w:t>
            </w:r>
          </w:p>
        </w:tc>
        <w:tc>
          <w:tcPr>
            <w:tcW w:w="3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0 - 6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6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Postawa studenta wobec regulaminu.</w:t>
            </w:r>
          </w:p>
        </w:tc>
        <w:tc>
          <w:tcPr>
            <w:tcW w:w="3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0 - 6</w:t>
            </w:r>
          </w:p>
        </w:tc>
      </w:tr>
      <w:tr>
        <w:trPr/>
        <w:tc>
          <w:tcPr>
            <w:tcW w:w="604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UZYSKANYCH PUNKTÓW</w:t>
            </w:r>
          </w:p>
        </w:tc>
        <w:tc>
          <w:tcPr>
            <w:tcW w:w="3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0 - 24</w:t>
            </w:r>
          </w:p>
        </w:tc>
      </w:tr>
      <w:tr>
        <w:trPr/>
        <w:tc>
          <w:tcPr>
            <w:tcW w:w="990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SKALA OCEN WEDŁUG ZDOBYTEJ PUNKTACJI:</w:t>
            </w:r>
          </w:p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 – 23 pkt. - bardzo dobry,                                  18 - 17 pkt. - dostateczny plus</w:t>
            </w:r>
          </w:p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22 - 21 pkt. - dobry plus                                        16 – 14 pkt. - dostateczny</w:t>
            </w:r>
          </w:p>
          <w:p>
            <w:pPr>
              <w:pStyle w:val="Normal"/>
              <w:suppressLineNumbers/>
              <w:spacing w:lineRule="atLeast" w:line="20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 – 19 pkt. - dobry                                               13 i poniżej - niedostateczny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9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12"/>
        <w:gridCol w:w="1512"/>
        <w:gridCol w:w="1759"/>
        <w:gridCol w:w="1441"/>
        <w:gridCol w:w="1710"/>
        <w:gridCol w:w="1980"/>
      </w:tblGrid>
      <w:tr>
        <w:trPr/>
        <w:tc>
          <w:tcPr>
            <w:tcW w:w="991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KRYTERIA OCENY OSIĄGNIĘTYCH EFEKTÓW KSZTAŁCENIA </w:t>
            </w:r>
          </w:p>
        </w:tc>
      </w:tr>
      <w:tr>
        <w:trPr/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bardzo dobrą (5,0)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dobrą plus (4,5)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dobrą (4,0)</w:t>
            </w: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dostateczna plus (3,5)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dostateczną (3,0)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niedostateczną (2,0)</w:t>
            </w:r>
          </w:p>
        </w:tc>
      </w:tr>
      <w:tr>
        <w:trPr/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96 – 100 %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pozytywnych odpowiedzi z rozwiązywania zadań. Student ma dużą wiedzę i umiejętności, samodzielnie myśli i rozwiązuje problemy badawcze. 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86 -95 %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ma duży zasób wiedzy i umiejętności, ale efekty kształcenia nie wykraczają poza zakres omawianego materiału.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76 – 85 %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opanował efekty kształcenia w stopniu dobrym, potrafi prawidłowo formułować myśli, posługiwać się wiedzą i wymaganym słownictwem medycznym.</w:t>
            </w: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66 – 75 %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opanował efekty kształcenia w stopniu zadowalającym, ale nie posługuje się wymaganym słownictwem medycznym.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55 – 65 %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opanował efekty kształcenia w stopniu dostatecznym.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Poniżej 55 %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Odpowiedzi błędne, luki w wiadomościach. Student nie opanował założonych efektów kształcenia.</w:t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pacing w:lineRule="atLeast" w:line="200" w:before="0" w:after="0"/>
        <w:ind w:left="0" w:right="-650" w:hanging="0"/>
        <w:jc w:val="both"/>
        <w:outlineLvl w:val="1"/>
        <w:rPr>
          <w:rFonts w:ascii="Times New Roman" w:hAnsi="Times New Roman" w:eastAsia="Calibri" w:cs="Times New Roman"/>
          <w:b/>
          <w:b/>
          <w:bCs/>
          <w:sz w:val="18"/>
          <w:szCs w:val="18"/>
          <w:u w:val="single"/>
        </w:rPr>
      </w:pPr>
      <w:r>
        <w:rPr>
          <w:rFonts w:eastAsia="Calibri" w:cs="Times New Roman" w:ascii="Times New Roman" w:hAnsi="Times New Roman"/>
          <w:b/>
          <w:bCs/>
          <w:sz w:val="18"/>
          <w:szCs w:val="18"/>
          <w:u w:val="single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lineRule="atLeast" w:line="200" w:before="0" w:after="0"/>
        <w:ind w:left="0" w:right="-650" w:hanging="0"/>
        <w:jc w:val="both"/>
        <w:outlineLvl w:val="1"/>
        <w:rPr>
          <w:rFonts w:ascii="Times New Roman" w:hAnsi="Times New Roman" w:eastAsia="Calibri" w:cs="Times New Roman"/>
          <w:b/>
          <w:b/>
          <w:bCs/>
          <w:sz w:val="18"/>
          <w:szCs w:val="18"/>
          <w:u w:val="single"/>
        </w:rPr>
      </w:pPr>
      <w:r>
        <w:rPr>
          <w:rFonts w:eastAsia="Calibri" w:cs="Times New Roman" w:ascii="Times New Roman" w:hAnsi="Times New Roman"/>
          <w:b/>
          <w:bCs/>
          <w:sz w:val="18"/>
          <w:szCs w:val="18"/>
          <w:u w:val="single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/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0"/>
          <w:szCs w:val="20"/>
        </w:rPr>
        <w:t>BILANS PUNKTÓW ECTS – NAKŁAD PRACY STUDENTA</w:t>
      </w:r>
    </w:p>
    <w:tbl>
      <w:tblPr>
        <w:tblW w:w="10012" w:type="dxa"/>
        <w:jc w:val="left"/>
        <w:tblInd w:w="23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062"/>
        <w:gridCol w:w="1311"/>
        <w:gridCol w:w="1639"/>
      </w:tblGrid>
      <w:tr>
        <w:trPr>
          <w:trHeight w:val="668" w:hRule="exact"/>
        </w:trPr>
        <w:tc>
          <w:tcPr>
            <w:tcW w:w="7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Kategoria</w:t>
            </w:r>
          </w:p>
          <w:p>
            <w:pPr>
              <w:pStyle w:val="Normal"/>
              <w:suppressLineNumbers/>
              <w:spacing w:before="0" w:after="20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Obciążenie studenta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Punkty ECTS</w:t>
            </w:r>
          </w:p>
        </w:tc>
      </w:tr>
      <w:tr>
        <w:trPr>
          <w:trHeight w:val="614" w:hRule="exact"/>
        </w:trPr>
        <w:tc>
          <w:tcPr>
            <w:tcW w:w="7062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hd w:val="clear" w:color="auto" w:fill="DDDDDD"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>Udział w zajęciach dydaktycznych określonych w planie studiów (godz. kontaktowe)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110</w:t>
            </w:r>
          </w:p>
        </w:tc>
        <w:tc>
          <w:tcPr>
            <w:tcW w:w="1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</w:tr>
      <w:tr>
        <w:trPr>
          <w:trHeight w:val="390" w:hRule="exact"/>
        </w:trPr>
        <w:tc>
          <w:tcPr>
            <w:tcW w:w="706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>Udział w wykładach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1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/>
              <w:t>2</w:t>
            </w:r>
          </w:p>
        </w:tc>
      </w:tr>
      <w:tr>
        <w:trPr>
          <w:trHeight w:val="420" w:hRule="exact"/>
        </w:trPr>
        <w:tc>
          <w:tcPr>
            <w:tcW w:w="706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>Inne -zajęcia praktyczne, praktyki zawodowe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40/40</w:t>
            </w:r>
          </w:p>
        </w:tc>
        <w:tc>
          <w:tcPr>
            <w:tcW w:w="1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/>
            </w:pPr>
            <w:r>
              <w:rPr/>
              <w:t>4</w:t>
            </w:r>
          </w:p>
        </w:tc>
      </w:tr>
      <w:tr>
        <w:trPr>
          <w:trHeight w:val="390" w:hRule="exact"/>
        </w:trPr>
        <w:tc>
          <w:tcPr>
            <w:tcW w:w="706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 xml:space="preserve">Samokształcenie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20</w:t>
            </w:r>
          </w:p>
        </w:tc>
        <w:tc>
          <w:tcPr>
            <w:tcW w:w="1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0</w:t>
            </w:r>
          </w:p>
        </w:tc>
      </w:tr>
      <w:tr>
        <w:trPr>
          <w:trHeight w:val="405" w:hRule="exact"/>
        </w:trPr>
        <w:tc>
          <w:tcPr>
            <w:tcW w:w="706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>Przygotowanie do wykładu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75" w:hRule="exact"/>
        </w:trPr>
        <w:tc>
          <w:tcPr>
            <w:tcW w:w="706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>Przygotowanie do egzaminu/kolokwium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napToGrid w:val="false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20" w:hRule="exact"/>
        </w:trPr>
        <w:tc>
          <w:tcPr>
            <w:tcW w:w="7062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Łączna liczba godzin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130</w:t>
            </w:r>
          </w:p>
        </w:tc>
        <w:tc>
          <w:tcPr>
            <w:tcW w:w="1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964" w:right="964" w:header="0" w:top="964" w:footer="0" w:bottom="153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e11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6581a"/>
    <w:rPr>
      <w:rFonts w:ascii="Segoe UI" w:hAnsi="Segoe UI" w:eastAsia="Times New Roman" w:cs="Segoe UI"/>
      <w:kern w:val="2"/>
      <w:sz w:val="18"/>
      <w:szCs w:val="18"/>
      <w:lang w:eastAsia="zh-CN"/>
    </w:rPr>
  </w:style>
  <w:style w:type="character" w:styleId="ZnakZnak4">
    <w:name w:val="Znak Znak4"/>
    <w:qFormat/>
    <w:rPr>
      <w:rFonts w:ascii="Calibri" w:hAnsi="Calibri" w:eastAsia="Calibri"/>
      <w:lang w:val="pl-PL" w:eastAsia="ar-SA"/>
    </w:rPr>
  </w:style>
  <w:style w:type="character" w:styleId="ZnakZnak7">
    <w:name w:val="Znak Znak7"/>
    <w:qFormat/>
    <w:rPr>
      <w:rFonts w:ascii="Calibri" w:hAnsi="Calibri" w:eastAsia="Calibri"/>
      <w:lang w:val="pl-PL" w:eastAsia="ar-SA"/>
    </w:rPr>
  </w:style>
  <w:style w:type="character" w:styleId="ZnakZnak8">
    <w:name w:val="Znak Znak8"/>
    <w:qFormat/>
    <w:rPr>
      <w:rFonts w:eastAsia="Arial"/>
      <w:lang w:eastAsia="pl-PL"/>
    </w:rPr>
  </w:style>
  <w:style w:type="character" w:styleId="ZnakZnak9">
    <w:name w:val="Znak Znak9"/>
    <w:qFormat/>
    <w:rPr>
      <w:b/>
      <w:sz w:val="24"/>
      <w:lang w:val="pl-PL"/>
    </w:rPr>
  </w:style>
  <w:style w:type="character" w:styleId="Domylnaczcionkaakapitu1">
    <w:name w:val="Domyślna czcionka akapitu1"/>
    <w:qFormat/>
    <w:rPr/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Times New Roman" w:hAnsi="Times New Roman" w:eastAsia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Symbolewypunktowania">
    <w:name w:val="Symbole wypunktowania"/>
    <w:qFormat/>
    <w:rPr>
      <w:rFonts w:ascii="OpenSymbol" w:hAnsi="OpenSymbol" w:eastAsia="OpenSymbol"/>
    </w:rPr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5z7">
    <w:name w:val="WW8Num5z7"/>
    <w:qFormat/>
    <w:rPr/>
  </w:style>
  <w:style w:type="character" w:styleId="WW8Num13z0">
    <w:name w:val="WW8Num13z0"/>
    <w:qFormat/>
    <w:rPr>
      <w:rFonts w:eastAsia="Times New Roman"/>
    </w:rPr>
  </w:style>
  <w:style w:type="character" w:styleId="WW8Num5z5">
    <w:name w:val="WW8Num5z5"/>
    <w:qFormat/>
    <w:rPr/>
  </w:style>
  <w:style w:type="character" w:styleId="WW8Num14z0">
    <w:name w:val="WW8Num14z0"/>
    <w:qFormat/>
    <w:rPr>
      <w:rFonts w:eastAsia="Times New Roman"/>
    </w:rPr>
  </w:style>
  <w:style w:type="character" w:styleId="WW8Num5z4">
    <w:name w:val="WW8Num5z4"/>
    <w:qFormat/>
    <w:rPr/>
  </w:style>
  <w:style w:type="character" w:styleId="WW8Num9z2">
    <w:name w:val="WW8Num9z2"/>
    <w:qFormat/>
    <w:rPr>
      <w:rFonts w:eastAsia="Times New Roman"/>
    </w:rPr>
  </w:style>
  <w:style w:type="character" w:styleId="WW8Num9z4">
    <w:name w:val="WW8Num9z4"/>
    <w:qFormat/>
    <w:rPr/>
  </w:style>
  <w:style w:type="character" w:styleId="WW8Num9z8">
    <w:name w:val="WW8Num9z8"/>
    <w:qFormat/>
    <w:rPr/>
  </w:style>
  <w:style w:type="character" w:styleId="WW8Num12z1">
    <w:name w:val="WW8Num12z1"/>
    <w:qFormat/>
    <w:rPr>
      <w:rFonts w:ascii="OpenSymbol" w:hAnsi="OpenSymbol" w:eastAsia="OpenSymbol"/>
    </w:rPr>
  </w:style>
  <w:style w:type="character" w:styleId="WW8Num5z2">
    <w:name w:val="WW8Num5z2"/>
    <w:qFormat/>
    <w:rPr/>
  </w:style>
  <w:style w:type="character" w:styleId="WW8Num5z6">
    <w:name w:val="WW8Num5z6"/>
    <w:qFormat/>
    <w:rPr/>
  </w:style>
  <w:style w:type="character" w:styleId="WW8Num16z0">
    <w:name w:val="WW8Num16z0"/>
    <w:qFormat/>
    <w:rPr>
      <w:rFonts w:eastAsia="Arial"/>
      <w:lang w:eastAsia="pl-PL"/>
    </w:rPr>
  </w:style>
  <w:style w:type="character" w:styleId="WW8Num16z1">
    <w:name w:val="WW8Num16z1"/>
    <w:qFormat/>
    <w:rPr/>
  </w:style>
  <w:style w:type="character" w:styleId="WW8Num5z8">
    <w:name w:val="WW8Num5z8"/>
    <w:qFormat/>
    <w:rPr/>
  </w:style>
  <w:style w:type="character" w:styleId="WW8Num9z6">
    <w:name w:val="WW8Num9z6"/>
    <w:qFormat/>
    <w:rPr/>
  </w:style>
  <w:style w:type="character" w:styleId="WW8Num15z0">
    <w:name w:val="WW8Num15z0"/>
    <w:qFormat/>
    <w:rPr>
      <w:rFonts w:eastAsia="Times New Roman"/>
    </w:rPr>
  </w:style>
  <w:style w:type="character" w:styleId="WW8Num5z3">
    <w:name w:val="WW8Num5z3"/>
    <w:qFormat/>
    <w:rPr/>
  </w:style>
  <w:style w:type="character" w:styleId="WW8Num9z3">
    <w:name w:val="WW8Num9z3"/>
    <w:qFormat/>
    <w:rPr/>
  </w:style>
  <w:style w:type="character" w:styleId="WW8Num9z5">
    <w:name w:val="WW8Num9z5"/>
    <w:qFormat/>
    <w:rPr/>
  </w:style>
  <w:style w:type="character" w:styleId="WW8Num9z7">
    <w:name w:val="WW8Num9z7"/>
    <w:qFormat/>
    <w:rPr/>
  </w:style>
  <w:style w:type="character" w:styleId="WW8Num4z2">
    <w:name w:val="WW8Num4z2"/>
    <w:qFormat/>
    <w:rPr>
      <w:rFonts w:eastAsia="Times New Roman"/>
    </w:rPr>
  </w:style>
  <w:style w:type="character" w:styleId="WW8Num9z1">
    <w:name w:val="WW8Num9z1"/>
    <w:qFormat/>
    <w:rPr>
      <w:rFonts w:ascii="OpenSymbol" w:hAnsi="OpenSymbol" w:eastAsia="Symbol"/>
      <w:b w:val="false"/>
      <w:sz w:val="20"/>
      <w:szCs w:val="20"/>
    </w:rPr>
  </w:style>
  <w:style w:type="character" w:styleId="WW8Num9z0">
    <w:name w:val="WW8Num9z0"/>
    <w:qFormat/>
    <w:rPr>
      <w:color w:val="000000"/>
    </w:rPr>
  </w:style>
  <w:style w:type="character" w:styleId="WW8Num8z0">
    <w:name w:val="WW8Num8z0"/>
    <w:qFormat/>
    <w:rPr>
      <w:b/>
      <w:color w:val="000000"/>
      <w:sz w:val="20"/>
      <w:lang w:val="pl-PL" w:eastAsia="pl-P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>
      <w:rFonts w:eastAsia="Times New Roman"/>
    </w:rPr>
  </w:style>
  <w:style w:type="character" w:styleId="WW8Num6z1">
    <w:name w:val="WW8Num6z1"/>
    <w:qFormat/>
    <w:rPr>
      <w:rFonts w:ascii="Courier New" w:hAnsi="Courier New" w:eastAsia="Courier New"/>
    </w:rPr>
  </w:style>
  <w:style w:type="character" w:styleId="WW8Num5z1">
    <w:name w:val="WW8Num5z1"/>
    <w:qFormat/>
    <w:rPr>
      <w:rFonts w:ascii="OpenSymbol" w:hAnsi="OpenSymbol" w:eastAsia="OpenSymbol"/>
    </w:rPr>
  </w:style>
  <w:style w:type="character" w:styleId="WW8Num7z1">
    <w:name w:val="WW8Num7z1"/>
    <w:qFormat/>
    <w:rPr>
      <w:rFonts w:ascii="OpenSymbol" w:hAnsi="OpenSymbol" w:eastAsia="Symbol"/>
      <w:b w:val="false"/>
      <w:sz w:val="20"/>
      <w:szCs w:val="20"/>
    </w:rPr>
  </w:style>
  <w:style w:type="character" w:styleId="WW8Num7z0">
    <w:name w:val="WW8Num7z0"/>
    <w:qFormat/>
    <w:rPr>
      <w:rFonts w:ascii="Liberation Serif" w:hAnsi="Liberation Serif" w:eastAsia="Liberation Serif"/>
      <w:color w:val="000000"/>
    </w:rPr>
  </w:style>
  <w:style w:type="character" w:styleId="WW8Num6z0">
    <w:name w:val="WW8Num6z0"/>
    <w:qFormat/>
    <w:rPr>
      <w:b/>
      <w:color w:val="000000"/>
      <w:sz w:val="20"/>
      <w:lang w:val="pl-PL" w:eastAsia="pl-PL"/>
    </w:rPr>
  </w:style>
  <w:style w:type="character" w:styleId="WW8Num5z0">
    <w:name w:val="WW8Num5z0"/>
    <w:qFormat/>
    <w:rPr>
      <w:b w:val="false"/>
      <w:color w:val="auto"/>
      <w:sz w:val="20"/>
    </w:rPr>
  </w:style>
  <w:style w:type="character" w:styleId="WW8Num4z1">
    <w:name w:val="WW8Num4z1"/>
    <w:qFormat/>
    <w:rPr>
      <w:rFonts w:ascii="OpenSymbol" w:hAnsi="OpenSymbol" w:eastAsia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Akapitzlist1" w:customStyle="1">
    <w:name w:val="Akapit z listą1"/>
    <w:basedOn w:val="Normal"/>
    <w:qFormat/>
    <w:rsid w:val="007e1106"/>
    <w:pPr>
      <w:spacing w:lineRule="auto" w:line="240" w:before="0" w:after="0"/>
      <w:ind w:left="720" w:hanging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6581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Tekstpodstawowy21">
    <w:name w:val="Tekst podstawowy 21"/>
    <w:basedOn w:val="Normal"/>
    <w:qFormat/>
    <w:pPr>
      <w:spacing w:lineRule="exact" w:line="480" w:before="0" w:after="120"/>
    </w:pPr>
    <w:rPr>
      <w:sz w:val="20"/>
    </w:rPr>
  </w:style>
  <w:style w:type="paragraph" w:styleId="Podpis1">
    <w:name w:val="Podpis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angal"/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LibreOffice/6.4.0.3$Windows_X86_64 LibreOffice_project/b0a288ab3d2d4774cb44b62f04d5d28733ac6df8</Application>
  <Pages>5</Pages>
  <Words>1526</Words>
  <Characters>10889</Characters>
  <CharactersWithSpaces>12603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k.waligorska</dc:creator>
  <dc:description/>
  <dc:language>pl-PL</dc:language>
  <cp:lastModifiedBy/>
  <dcterms:modified xsi:type="dcterms:W3CDTF">2020-09-13T20:40:06Z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